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3scjscvx7dre" w:id="0"/>
      <w:bookmarkEnd w:id="0"/>
      <w:r w:rsidDel="00000000" w:rsidR="00000000" w:rsidRPr="00000000">
        <w:rPr>
          <w:rtl w:val="0"/>
        </w:rPr>
        <w:t xml:space="preserve">Greening the Pastures: A Strategic Marketing Blueprint for SELCO's Rural Sustainable Innovations</w:t>
      </w:r>
    </w:p>
    <w:p w:rsidR="00000000" w:rsidDel="00000000" w:rsidP="00000000" w:rsidRDefault="00000000" w:rsidRPr="00000000" w14:paraId="00000002">
      <w:pPr>
        <w:pStyle w:val="Subtitle"/>
        <w:rPr/>
      </w:pPr>
      <w:bookmarkStart w:colFirst="0" w:colLast="0" w:name="_w8r27vrlg06n" w:id="1"/>
      <w:bookmarkEnd w:id="1"/>
      <w:r w:rsidDel="00000000" w:rsidR="00000000" w:rsidRPr="00000000">
        <w:rPr>
          <w:rtl w:val="0"/>
        </w:rPr>
      </w:r>
    </w:p>
    <w:p w:rsidR="00000000" w:rsidDel="00000000" w:rsidP="00000000" w:rsidRDefault="00000000" w:rsidRPr="00000000" w14:paraId="00000003">
      <w:pPr>
        <w:jc w:val="center"/>
        <w:rPr>
          <w:sz w:val="26"/>
          <w:szCs w:val="26"/>
        </w:rPr>
      </w:pPr>
      <w:r w:rsidDel="00000000" w:rsidR="00000000" w:rsidRPr="00000000">
        <w:rPr>
          <w:b w:val="1"/>
          <w:color w:val="323232"/>
          <w:sz w:val="28"/>
          <w:szCs w:val="28"/>
          <w:highlight w:val="white"/>
          <w:rtl w:val="0"/>
        </w:rPr>
        <w:t xml:space="preserve">NMO ID: </w:t>
      </w:r>
      <w:r w:rsidDel="00000000" w:rsidR="00000000" w:rsidRPr="00000000">
        <w:rPr>
          <w:color w:val="323232"/>
          <w:sz w:val="28"/>
          <w:szCs w:val="28"/>
          <w:highlight w:val="white"/>
          <w:rtl w:val="0"/>
        </w:rPr>
        <w:t xml:space="preserve"> NMO-9940-S5</w:t>
      </w:r>
      <w:r w:rsidDel="00000000" w:rsidR="00000000" w:rsidRPr="00000000">
        <w:rPr>
          <w:rtl w:val="0"/>
        </w:rPr>
      </w:r>
    </w:p>
    <w:p w:rsidR="00000000" w:rsidDel="00000000" w:rsidP="00000000" w:rsidRDefault="00000000" w:rsidRPr="00000000" w14:paraId="00000004">
      <w:pPr>
        <w:jc w:val="center"/>
        <w:rPr>
          <w:sz w:val="26"/>
          <w:szCs w:val="26"/>
        </w:rPr>
      </w:pPr>
      <w:r w:rsidDel="00000000" w:rsidR="00000000" w:rsidRPr="00000000">
        <w:rPr>
          <w:b w:val="1"/>
          <w:sz w:val="26"/>
          <w:szCs w:val="26"/>
          <w:rtl w:val="0"/>
        </w:rPr>
        <w:t xml:space="preserve">Name:</w:t>
      </w:r>
      <w:r w:rsidDel="00000000" w:rsidR="00000000" w:rsidRPr="00000000">
        <w:rPr>
          <w:sz w:val="26"/>
          <w:szCs w:val="26"/>
          <w:rtl w:val="0"/>
        </w:rPr>
        <w:t xml:space="preserve">  Pitamber Kaushik</w:t>
      </w:r>
    </w:p>
    <w:p w:rsidR="00000000" w:rsidDel="00000000" w:rsidP="00000000" w:rsidRDefault="00000000" w:rsidRPr="00000000" w14:paraId="00000005">
      <w:pPr>
        <w:jc w:val="center"/>
        <w:rPr>
          <w:sz w:val="26"/>
          <w:szCs w:val="26"/>
        </w:rPr>
      </w:pPr>
      <w:r w:rsidDel="00000000" w:rsidR="00000000" w:rsidRPr="00000000">
        <w:rPr>
          <w:b w:val="1"/>
          <w:sz w:val="26"/>
          <w:szCs w:val="26"/>
          <w:rtl w:val="0"/>
        </w:rPr>
        <w:t xml:space="preserve">Role and Department:</w:t>
      </w:r>
      <w:r w:rsidDel="00000000" w:rsidR="00000000" w:rsidRPr="00000000">
        <w:rPr>
          <w:sz w:val="26"/>
          <w:szCs w:val="26"/>
          <w:rtl w:val="0"/>
        </w:rPr>
        <w:t xml:space="preserve">  Head of Marketing Management Department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rPr>
          <w:b w:val="1"/>
          <w:u w:val="single"/>
        </w:rPr>
      </w:pPr>
      <w:bookmarkStart w:colFirst="0" w:colLast="0" w:name="_4rsp1g3156cm" w:id="2"/>
      <w:bookmarkEnd w:id="2"/>
      <w:r w:rsidDel="00000000" w:rsidR="00000000" w:rsidRPr="00000000">
        <w:rPr>
          <w:rtl w:val="0"/>
        </w:rPr>
      </w:r>
    </w:p>
    <w:p w:rsidR="00000000" w:rsidDel="00000000" w:rsidP="00000000" w:rsidRDefault="00000000" w:rsidRPr="00000000" w14:paraId="00000008">
      <w:pPr>
        <w:pStyle w:val="Subtitle"/>
        <w:rPr/>
      </w:pPr>
      <w:bookmarkStart w:colFirst="0" w:colLast="0" w:name="_7zlq2lwx80y" w:id="3"/>
      <w:bookmarkEnd w:id="3"/>
      <w:r w:rsidDel="00000000" w:rsidR="00000000" w:rsidRPr="00000000">
        <w:rPr>
          <w:b w:val="1"/>
          <w:u w:val="single"/>
          <w:rtl w:val="0"/>
        </w:rPr>
        <w:t xml:space="preserve">Assignments Undertaken:</w:t>
      </w:r>
      <w:r w:rsidDel="00000000" w:rsidR="00000000" w:rsidRPr="00000000">
        <w:rPr>
          <w:rtl w:val="0"/>
        </w:rPr>
        <w:t xml:space="preserve"> </w:t>
      </w:r>
      <w:r w:rsidDel="00000000" w:rsidR="00000000" w:rsidRPr="00000000">
        <w:rPr>
          <w:rtl w:val="0"/>
        </w:rPr>
        <w:t xml:space="preserve">Designing a comprehensive and contextualised marketing and sales strategy for SELCO including key solutions, expansion strategy, and implementation scheme.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rFonts w:ascii="Verdana" w:cs="Verdana" w:eastAsia="Verdana" w:hAnsi="Verdana"/>
          <w:sz w:val="42"/>
          <w:szCs w:val="42"/>
        </w:rPr>
      </w:pPr>
      <w:bookmarkStart w:colFirst="0" w:colLast="0" w:name="_aptobbkwqslc" w:id="4"/>
      <w:bookmarkEnd w:id="4"/>
      <w:r w:rsidDel="00000000" w:rsidR="00000000" w:rsidRPr="00000000">
        <w:rPr>
          <w:rFonts w:ascii="Verdana" w:cs="Verdana" w:eastAsia="Verdana" w:hAnsi="Verdana"/>
          <w:sz w:val="42"/>
          <w:szCs w:val="42"/>
          <w:rtl w:val="0"/>
        </w:rPr>
        <w:t xml:space="preserve">Case Understanding: Marketing Challenges for SELCO India</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SELCO India, a pioneering energy service company headquartered in Bangalore, has been at the forefront of dispelling prevalent myths about sustainable energy solutions. With a legacy stretching back two decades, SELCO India's vision and operations are rooted in the firm belief that even the poor can afford and maintain sustainable technologies. Their business model has been remarkable, with door-step service models and local youth handling maintenance, embedding a sense of trust and community responsibility. </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company has consistently profited in the last eight years, underscoring the commercial viability of their mission. Furthermore, SELCO's agility was evident when, during a challenging phase in the early 2000s, the company expanded its business by diversifying its offering of financial and operational tools designed to uplift the poor.</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Despite these successes, the on-ground reality poses challenges that demand innovative marketing strategies. The company's aspiration to expand its footprint entails entering newer territories and demographics, which inherently comes with the task of building trust and awareness from scratch. SELCO India's success has been largely contingent on its deep-rooted community engagement. To replicate this success, its marketing department faces the challenge of effectively conveying the company's value proposition to a new set of stakeholders.</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One of the immediate challenges is the misinformation or lack of understanding about sustainable technologies among the rural poor. This necessitates educational campaigns that are both engaging and culturally relevant. Additionally, while the company's financing methods, co-developed with its partners, have been pivotal in its success, making potential customers aware of these financing options and their benefits remains a hurdle.</w:t>
      </w:r>
    </w:p>
    <w:p w:rsidR="00000000" w:rsidDel="00000000" w:rsidP="00000000" w:rsidRDefault="00000000" w:rsidRPr="00000000" w14:paraId="000000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Furthermore, SELCO India's intent to innovate and adapt its offerings based on customer feedback means that the marketing department must be in constant sync with the product development teams. This iterative approach, while beneficial, means that the marketing department constantly needs to update its messaging to reflect the latest offerings.</w:t>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There's also the challenge of positioning. With the advent of agrivoltaics, shared liability structures, and the potential of carbon credits for corporate sponsorships, SELCO India is poised to diversify its offerings. Each of these avenues requires distinct marketing strategies, targeting different audience segments, from rural farmers to corporate giants.</w:t>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Lastly, as SELCO India strives to expand its services, there's an inherent challenge of maintaining consistent brand messaging and ensuring that the company's core values are not diluted. The company's grassroots approach, combined with its ambitions of scaling, means that the marketing department needs to strike a fine balance between localized outreach and broader brand-building exercises.</w:t>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summary, SELCO India's marketing department faces a multi-faceted challenge. They are tasked with the responsibility of not only expanding the brand's reach but also ensuring that the company's core ethos and values are communicated effectively to diverse audiences. As the company stands on the cusp of its next growth phase, the marketing department's role has never been more crucial.</w:t>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D">
      <w:pPr>
        <w:pStyle w:val="Heading1"/>
        <w:rPr>
          <w:rFonts w:ascii="Verdana" w:cs="Verdana" w:eastAsia="Verdana" w:hAnsi="Verdana"/>
          <w:sz w:val="42"/>
          <w:szCs w:val="42"/>
        </w:rPr>
      </w:pPr>
      <w:bookmarkStart w:colFirst="0" w:colLast="0" w:name="_27sk6kd86fwg" w:id="5"/>
      <w:bookmarkEnd w:id="5"/>
      <w:r w:rsidDel="00000000" w:rsidR="00000000" w:rsidRPr="00000000">
        <w:rPr>
          <w:rFonts w:ascii="Verdana" w:cs="Verdana" w:eastAsia="Verdana" w:hAnsi="Verdana"/>
          <w:sz w:val="42"/>
          <w:szCs w:val="42"/>
          <w:rtl w:val="0"/>
        </w:rPr>
        <w:t xml:space="preserve">Solution Summary</w:t>
      </w:r>
    </w:p>
    <w:p w:rsidR="00000000" w:rsidDel="00000000" w:rsidP="00000000" w:rsidRDefault="00000000" w:rsidRPr="00000000" w14:paraId="0000001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following is a comprehensive marketing plan tailored to SELCO India's expansion objectives:</w:t>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1. Agrivoltaics (Integrating solar panels with agriculture)</w:t>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Objective:</w:t>
      </w:r>
      <w:r w:rsidDel="00000000" w:rsidR="00000000" w:rsidRPr="00000000">
        <w:rPr>
          <w:rFonts w:ascii="Verdana" w:cs="Verdana" w:eastAsia="Verdana" w:hAnsi="Verdana"/>
          <w:sz w:val="24"/>
          <w:szCs w:val="24"/>
          <w:rtl w:val="0"/>
        </w:rPr>
        <w:t xml:space="preserve"> Promote the dual benefit of energy generation and agriculture.</w:t>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Marketing Strategies:</w:t>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Content Marketing: Leverage the articles you've written to educate the target market on the benefits of agrivoltaics. Consider creating infographics, video documentaries, and hosting webinars.</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Partnerships: Collaborate with agricultural organizations, farmers' cooperatives, and local government agricultural departments to promote agrivoltaics.</w:t>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Field Demonstrations: Organize on-ground demonstrations in select villages to show the practical benefits of integrating solar panels with agriculture.</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2. Shared Liability Structure</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Objective:</w:t>
      </w:r>
      <w:r w:rsidDel="00000000" w:rsidR="00000000" w:rsidRPr="00000000">
        <w:rPr>
          <w:rFonts w:ascii="Verdana" w:cs="Verdana" w:eastAsia="Verdana" w:hAnsi="Verdana"/>
          <w:sz w:val="24"/>
          <w:szCs w:val="24"/>
          <w:rtl w:val="0"/>
        </w:rPr>
        <w:t xml:space="preserve"> Encourage community-based adoption of solar technology.</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Marketing Strategies:</w:t>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Community Workshops: Organize workshops in rural areas explaining the joint repayment responsibility structure, its benefits, and how it ensures consistent repayment.</w:t>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Success Stories: Highlight stories of communities that have successfully adopted this model. Video testimonials can be effective in illustrating the shared benefits.</w:t>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Ambassador Program: Identify and train community leaders who can be ambassadors for this program, driving adoption within their communities.</w:t>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3. Issue of Carbon Credits in Exchange for Corporate Sponsorship</w:t>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Objective:</w:t>
      </w:r>
      <w:r w:rsidDel="00000000" w:rsidR="00000000" w:rsidRPr="00000000">
        <w:rPr>
          <w:rFonts w:ascii="Verdana" w:cs="Verdana" w:eastAsia="Verdana" w:hAnsi="Verdana"/>
          <w:sz w:val="24"/>
          <w:szCs w:val="24"/>
          <w:rtl w:val="0"/>
        </w:rPr>
        <w:t xml:space="preserve"> Engage corporates in the mission of expanding solar energy in rural areas while offering them a tangible return in the form of carbon credits.</w:t>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Marketing Strategies:</w:t>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B2B Campaigns: Launch targeted B2B marketing campaigns highlighting the benefits of corporate sponsorship. Emphasize the environmental impact and the positive PR that comes with it.</w:t>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Networking Events: Organize events or attend industry conferences to promote this initiative, targeting CSR heads of major companies.</w:t>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Digital Marketing: Create a dedicated landing page on SELCO India's website, explaining the carbon credits program. Use SEO and PPC campaigns to direct traffic.</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Case Studies: Once a few corporates have signed on, develop case studies showcasing their positive environmental impact and brand enhancement.</w:t>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Cross-cutting Strategies:</w:t>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Awareness Drives: Hold community and corporate awareness drives explaining the interconnectedness of the above strategies and how they benefit all stakeholders.</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Digital Presence: Regularly update social media channels, blogs, and newsletters to keep stakeholders informed of the latest developments and success stories.</w:t>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Feedback Loop: Create a feedback mechanism to understand the pain points and success factors from both the end-users and the corporate sponsors. This can help in refining the marketing strategy over time.</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Performance Metrics:</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Number of new installations under each initiative.</w:t>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Percentage increase in community buy-ins for shared liability structure.</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Number of corporate sponsors onboarded and the amount of carbon credits issued.</w:t>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Overall increase in brand awareness and engagement metrics on digital platforms.</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By implementing this marketing plan, SELCO India can effectively promote its new initiatives, engage its target audience, and achieve its expansion objectives.</w:t>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pStyle w:val="Heading1"/>
        <w:rPr>
          <w:rFonts w:ascii="Verdana" w:cs="Verdana" w:eastAsia="Verdana" w:hAnsi="Verdana"/>
          <w:sz w:val="42"/>
          <w:szCs w:val="42"/>
        </w:rPr>
      </w:pPr>
      <w:bookmarkStart w:colFirst="0" w:colLast="0" w:name="_qoh7d4c16z1z" w:id="6"/>
      <w:bookmarkEnd w:id="6"/>
      <w:r w:rsidDel="00000000" w:rsidR="00000000" w:rsidRPr="00000000">
        <w:rPr>
          <w:rFonts w:ascii="Verdana" w:cs="Verdana" w:eastAsia="Verdana" w:hAnsi="Verdana"/>
          <w:sz w:val="42"/>
          <w:szCs w:val="42"/>
          <w:rtl w:val="0"/>
        </w:rPr>
        <w:t xml:space="preserve">Detailed Solution</w:t>
      </w:r>
    </w:p>
    <w:p w:rsidR="00000000" w:rsidDel="00000000" w:rsidP="00000000" w:rsidRDefault="00000000" w:rsidRPr="00000000" w14:paraId="0000004C">
      <w:pPr>
        <w:pStyle w:val="Heading2"/>
        <w:rPr>
          <w:rFonts w:ascii="Verdana" w:cs="Verdana" w:eastAsia="Verdana" w:hAnsi="Verdana"/>
          <w:sz w:val="34"/>
          <w:szCs w:val="34"/>
        </w:rPr>
      </w:pPr>
      <w:bookmarkStart w:colFirst="0" w:colLast="0" w:name="_t09nn88a8p1v" w:id="7"/>
      <w:bookmarkEnd w:id="7"/>
      <w:r w:rsidDel="00000000" w:rsidR="00000000" w:rsidRPr="00000000">
        <w:rPr>
          <w:rFonts w:ascii="Verdana" w:cs="Verdana" w:eastAsia="Verdana" w:hAnsi="Verdana"/>
          <w:sz w:val="34"/>
          <w:szCs w:val="34"/>
          <w:rtl w:val="0"/>
        </w:rPr>
        <w:t xml:space="preserve">Agrivoltaics: A Deep Dive into a Syncretic Technology</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Agrivoltaics, also known as agriculture-integrated photovoltaics, is a relatively recent innovation that combines the production of solar energy with agriculture on the same piece of land. </w:t>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1">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 Definition &amp; Concept:</w:t>
      </w:r>
    </w:p>
    <w:p w:rsidR="00000000" w:rsidDel="00000000" w:rsidP="00000000" w:rsidRDefault="00000000" w:rsidRPr="00000000" w14:paraId="0000005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Agrivoltaics refers to the co-location of solar photovoltaic (PV) installations with crops or pasture lands. The idea is to optimize land use, enabling the simultaneous generation of solar power and agricultural produce.</w:t>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Benefits:</w:t>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Enhanced Land Use: It addresses the competition for land space by allowing renewable energy generation and food production simultaneously.</w:t>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Microclimate Regulation: The presence of solar panels can modify local climate conditions by reducing excessive sunlight on crops and maintaining moisture levels. This can potentially increase agricultural yield in certain conditions.</w:t>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Energy Savings: Farmers can use the generated electricity for their irrigation pumps, processing equipment, or even sell it back to the grid.</w:t>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Reduction in Water Evaporation: The shade provided by solar panels can reduce water evaporation, leading to savings in irrigation.</w:t>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Enhanced Solar Panel Efficiency: The cooling effect from the vegetation can increase the efficiency of solar panels, as they perform better in cooler conditions.</w:t>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Implementation Challenges:</w:t>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Infrastructure Cost: Initial setup cost, especially for small-scale farmers, can be a deterrent.</w:t>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Maintenance: The dual system might pose additional maintenance challenges, especially during the harvest season or during panel cleaning.</w:t>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Crop Selection: Not all crops might be suitable for agrivoltaic systems. There's a need for research to identify the most compatible crops for specific regions.</w:t>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Marketing Strategies for Agrivoltaics:</w:t>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Demonstration Farms: Establish pilot farms showcasing the effectiveness of agrivoltaics. These farms can serve both as proof of concept and as training hubs for interested farmers.</w:t>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Subsidy &amp; Financing Solutions: Collaborate with local banks or microfinance institutions to provide loans or subsidies that can help reduce the initial investment barrier.</w:t>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Workshops &amp; Training: Organize training sessions to educate farmers about the benefits, setup, and maintenance of agrivoltaic systems.</w:t>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Partnerships with Agricultural Universities &amp; Institutes: Collaboration with educational institutes can provide credibility to the concept and also aid in research to further refine the model.</w:t>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Community Engagement: Engage with local community leaders and influencers who can advocate for the adoption of agrivoltaics.</w:t>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Future of Agrivoltaics:</w:t>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With the growing demand for renewable energy and the need for sustainable agricultural practices, agrivoltaics is poised to become an essential solution in the near future. The dual benefits of renewable energy production and optimized agricultural land use make it an attractive proposition for regions looking to tackle both energy and food security challenges.</w:t>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Management Principle Employed: Integrative Synergy Management.</w:t>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principle emphasizes that when two seemingly distinct systems (agriculture and solar energy harnessing) are integrated, they should be managed in a way that maximizes their mutual benefits. The management should focus on ensuring that the combination of these systems results in a synergy where the whole is greater than the sum of its parts.</w:t>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summary, agrivoltaics represents an innovative intersection of renewable energy and agriculture. With proper implementation and marketing strategies, it has the potential to address several contemporary challenges related to land use, energy, and food production.</w:t>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pStyle w:val="Heading2"/>
        <w:rPr>
          <w:rFonts w:ascii="Verdana" w:cs="Verdana" w:eastAsia="Verdana" w:hAnsi="Verdana"/>
          <w:sz w:val="34"/>
          <w:szCs w:val="34"/>
        </w:rPr>
      </w:pPr>
      <w:bookmarkStart w:colFirst="0" w:colLast="0" w:name="_oeodz1ibjz1s" w:id="8"/>
      <w:bookmarkEnd w:id="8"/>
      <w:r w:rsidDel="00000000" w:rsidR="00000000" w:rsidRPr="00000000">
        <w:rPr>
          <w:rFonts w:ascii="Verdana" w:cs="Verdana" w:eastAsia="Verdana" w:hAnsi="Verdana"/>
          <w:sz w:val="34"/>
          <w:szCs w:val="34"/>
          <w:rtl w:val="0"/>
        </w:rPr>
        <w:t xml:space="preserve">Shared Liability Structure: An In-depth Examination</w:t>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shared liability structure is a form of lending and repayment system designed to address the challenges of providing loans to individuals who may not have the conventional prerequisites for borrowing, such as collateral or a credit history. This approach is most often seen in microfinance institutions catering to low-income borrowers, especially in developing countries.</w:t>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 Definition &amp; Concept:</w:t>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shared liability structure groups individual borrowers together, making them collectively responsible for the repayment of loans taken by any member of the group.</w:t>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8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Benefits:</w:t>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Mitigation of Default Risk: By making the group responsible for an individual's default, there's an added layer of security for the lender. Group members ensure that each member repays their loans to avoid the consequence of shared liability.</w:t>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Social Pressure as Collateral: In the absence of traditional collateral, the social pressure to repay within the community acts as an intangible collateral, ensuring repayment.</w:t>
      </w:r>
    </w:p>
    <w:p w:rsidR="00000000" w:rsidDel="00000000" w:rsidP="00000000" w:rsidRDefault="00000000" w:rsidRPr="00000000" w14:paraId="000000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Facilitates Financial Inclusion: This system allows individuals without a credit history or assets to access financial services, promoting economic upliftment.</w:t>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Promotes Group Cohesion: Shared responsibility often leads to stronger community ties, as members work collectively towards financial betterment.</w:t>
      </w:r>
    </w:p>
    <w:p w:rsidR="00000000" w:rsidDel="00000000" w:rsidP="00000000" w:rsidRDefault="00000000" w:rsidRPr="00000000" w14:paraId="000000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Implementation Challenges:</w:t>
      </w:r>
    </w:p>
    <w:p w:rsidR="00000000" w:rsidDel="00000000" w:rsidP="00000000" w:rsidRDefault="00000000" w:rsidRPr="00000000" w14:paraId="0000009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Group Dynamics: If there are disagreements or disputes within the group, it might hinder loan repayments.</w:t>
      </w:r>
    </w:p>
    <w:p w:rsidR="00000000" w:rsidDel="00000000" w:rsidP="00000000" w:rsidRDefault="00000000" w:rsidRPr="00000000" w14:paraId="000000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Over-reliance on Social Pressure: Too much dependence on social pressure might lead to negative community dynamics, including undue stress or strained relationships.</w:t>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Lack of Individual Accountability: Some members might take undue advantage of the system, thinking other members will shoulder their responsibilities.</w:t>
      </w:r>
    </w:p>
    <w:p w:rsidR="00000000" w:rsidDel="00000000" w:rsidP="00000000" w:rsidRDefault="00000000" w:rsidRPr="00000000" w14:paraId="000000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Real-world Application: Grameen Bank Model:</w:t>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One of the most famous applications of the shared liability structure is by the Grameen Bank in Bangladesh. Founded by Dr. Muhammad Yunus, the bank offers small loans to impoverished individuals, primarily women. Borrowers are grouped together, and if one member of the group defaults, the entire group loses access to further credit. This model has proven successful, with high repayment rates and a notable impact on poverty reduction.</w:t>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Considerations for Implementation:</w:t>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Vet Group Members: Ensure that group members are familiar with each other and have a foundation of trust.</w:t>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Clear Communication: Ensure all members understand the terms of the loan and the consequences of default.</w:t>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Regular Monitoring: Institutions should regularly monitor group dynamics and loan repayment status to identify and address any potential issues early.</w:t>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Support &amp; Education: Offer financial literacy programs to borrowers, ensuring they understand money management and the importance of repayment.</w:t>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6. Future of Shared Liability Structure:</w:t>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While the shared liability structure has proven successful in many contexts, especially in microfinance, it's essential to adapt and refine the model based on socio-cultural dynamics of the region. As financial systems evolve and become more inclusive, shared liability can be one of many tools to empower previously underserved populations.</w:t>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Management Principle Employed: Collective Responsibility Management</w:t>
      </w:r>
      <w:r w:rsidDel="00000000" w:rsidR="00000000" w:rsidRPr="00000000">
        <w:rPr>
          <w:rtl w:val="0"/>
        </w:rPr>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principle stresses the importance of building a community-driven approach where all members are equally responsible for the success of a project. For a shared liability structure, the management must ensure that all participants are educated, informed, and feel a shared sense of ownership and responsibility, so that one's actions impact all, fostering trust and collective effort.</w:t>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summary, the shared liability structure is an innovative financial model that harnesses the power of community and collective responsibility to facilitate lending to underserved populations. Properly managed, it can be a potent tool for financial inclusion and poverty alleviation.</w:t>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pStyle w:val="Heading3"/>
        <w:rPr>
          <w:rFonts w:ascii="Verdana" w:cs="Verdana" w:eastAsia="Verdana" w:hAnsi="Verdana"/>
          <w:sz w:val="32"/>
          <w:szCs w:val="32"/>
        </w:rPr>
      </w:pPr>
      <w:bookmarkStart w:colFirst="0" w:colLast="0" w:name="_xqnbq1ibzjr2" w:id="9"/>
      <w:bookmarkEnd w:id="9"/>
      <w:r w:rsidDel="00000000" w:rsidR="00000000" w:rsidRPr="00000000">
        <w:rPr>
          <w:rFonts w:ascii="Verdana" w:cs="Verdana" w:eastAsia="Verdana" w:hAnsi="Verdana"/>
          <w:sz w:val="32"/>
          <w:szCs w:val="32"/>
          <w:rtl w:val="0"/>
        </w:rPr>
        <w:t xml:space="preserve">Criteria Used to Establish Creditworthiness for Rapid and Reliable Sales Expansion</w:t>
      </w:r>
    </w:p>
    <w:p w:rsidR="00000000" w:rsidDel="00000000" w:rsidP="00000000" w:rsidRDefault="00000000" w:rsidRPr="00000000" w14:paraId="000000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following indicators are readily available and digitally verifiable (from government databases as well as easily-uploadable and commonly-available documentation) serving as proxies for creditworthiness to facilitate quick, digital screening of rural individuals who generally lack conventional credit evaluation-required documentation. This is important for sales expansion as it enables sales personnel to quickly identify suitable individuals for credit provision.</w:t>
      </w:r>
    </w:p>
    <w:p w:rsidR="00000000" w:rsidDel="00000000" w:rsidP="00000000" w:rsidRDefault="00000000" w:rsidRPr="00000000" w14:paraId="000000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Proxy Criteria for Estimating Creditworthiness</w:t>
      </w:r>
    </w:p>
    <w:p w:rsidR="00000000" w:rsidDel="00000000" w:rsidP="00000000" w:rsidRDefault="00000000" w:rsidRPr="00000000" w14:paraId="000000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Eliminative Criteria </w:t>
      </w:r>
      <w:r w:rsidDel="00000000" w:rsidR="00000000" w:rsidRPr="00000000">
        <w:rPr>
          <w:rFonts w:ascii="Verdana" w:cs="Verdana" w:eastAsia="Verdana" w:hAnsi="Verdana"/>
          <w:sz w:val="24"/>
          <w:szCs w:val="24"/>
          <w:rtl w:val="0"/>
        </w:rPr>
        <w:t xml:space="preserve">(Inter-related by ‘OR’ – Each is individually sufficient but not necessary for Elimination for Credit Provision)</w:t>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an Aadhar Card</w:t>
      </w:r>
    </w:p>
    <w:p w:rsidR="00000000" w:rsidDel="00000000" w:rsidP="00000000" w:rsidRDefault="00000000" w:rsidRPr="00000000" w14:paraId="000000B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taken at least one COVID-19 vaccine shot</w:t>
      </w:r>
    </w:p>
    <w:p w:rsidR="00000000" w:rsidDel="00000000" w:rsidP="00000000" w:rsidRDefault="00000000" w:rsidRPr="00000000" w14:paraId="000000B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at least one child of the credit-seeker is enrolled in middle school (Above Grade V)</w:t>
      </w:r>
    </w:p>
    <w:p w:rsidR="00000000" w:rsidDel="00000000" w:rsidP="00000000" w:rsidRDefault="00000000" w:rsidRPr="00000000" w14:paraId="000000B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 bank account (at least a PM Jan Dhan Account)</w:t>
      </w:r>
    </w:p>
    <w:p w:rsidR="00000000" w:rsidDel="00000000" w:rsidP="00000000" w:rsidRDefault="00000000" w:rsidRPr="00000000" w14:paraId="000000B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purchased a train ticket in the past </w:t>
      </w:r>
    </w:p>
    <w:p w:rsidR="00000000" w:rsidDel="00000000" w:rsidP="00000000" w:rsidRDefault="00000000" w:rsidRPr="00000000" w14:paraId="000000B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 UPI ID with transactions &gt;Rs. 200 made in the last six months.</w:t>
      </w:r>
    </w:p>
    <w:p w:rsidR="00000000" w:rsidDel="00000000" w:rsidP="00000000" w:rsidRDefault="00000000" w:rsidRPr="00000000" w14:paraId="000000B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lacks a BPL/AAY Card</w:t>
      </w:r>
    </w:p>
    <w:p w:rsidR="00000000" w:rsidDel="00000000" w:rsidP="00000000" w:rsidRDefault="00000000" w:rsidRPr="00000000" w14:paraId="000000B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lacks an APL Card used in the past 3 years.</w:t>
      </w:r>
    </w:p>
    <w:p w:rsidR="00000000" w:rsidDel="00000000" w:rsidP="00000000" w:rsidRDefault="00000000" w:rsidRPr="00000000" w14:paraId="000000B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completed all vaccinations listed under the National Immunization scheme upto 9 months for all their children.</w:t>
      </w:r>
    </w:p>
    <w:p w:rsidR="00000000" w:rsidDel="00000000" w:rsidP="00000000" w:rsidRDefault="00000000" w:rsidRPr="00000000" w14:paraId="000000B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an email (verified by OTP) as well as a phone number (verified by OTP)</w:t>
      </w:r>
    </w:p>
    <w:p w:rsidR="00000000" w:rsidDel="00000000" w:rsidP="00000000" w:rsidRDefault="00000000" w:rsidRPr="00000000" w14:paraId="000000C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made &gt;100 calls in the past one year.</w:t>
      </w:r>
    </w:p>
    <w:p w:rsidR="00000000" w:rsidDel="00000000" w:rsidP="00000000" w:rsidRDefault="00000000" w:rsidRPr="00000000" w14:paraId="000000C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 matriculation (Grade X) degree.</w:t>
      </w:r>
    </w:p>
    <w:p w:rsidR="00000000" w:rsidDel="00000000" w:rsidP="00000000" w:rsidRDefault="00000000" w:rsidRPr="00000000" w14:paraId="000000C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credit-seeker’s household has an annual electricity consumption &lt;50 kWh per year</w:t>
      </w:r>
    </w:p>
    <w:p w:rsidR="00000000" w:rsidDel="00000000" w:rsidP="00000000" w:rsidRDefault="00000000" w:rsidRPr="00000000" w14:paraId="000000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Selective Criteria </w:t>
      </w:r>
      <w:r w:rsidDel="00000000" w:rsidR="00000000" w:rsidRPr="00000000">
        <w:rPr>
          <w:rFonts w:ascii="Verdana" w:cs="Verdana" w:eastAsia="Verdana" w:hAnsi="Verdana"/>
          <w:sz w:val="24"/>
          <w:szCs w:val="24"/>
          <w:rtl w:val="0"/>
        </w:rPr>
        <w:t xml:space="preserve">(Inter-related by ‘OR’ – Each is individually sufficient but not necessary for Qualification for Credit Provision)</w:t>
      </w:r>
    </w:p>
    <w:p w:rsidR="00000000" w:rsidDel="00000000" w:rsidP="00000000" w:rsidRDefault="00000000" w:rsidRPr="00000000" w14:paraId="000000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is a postgraduate</w:t>
      </w:r>
    </w:p>
    <w:p w:rsidR="00000000" w:rsidDel="00000000" w:rsidP="00000000" w:rsidRDefault="00000000" w:rsidRPr="00000000" w14:paraId="000000C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is a graduate from an institution graded NAAC B++ or higher</w:t>
      </w:r>
    </w:p>
    <w:p w:rsidR="00000000" w:rsidDel="00000000" w:rsidP="00000000" w:rsidRDefault="00000000" w:rsidRPr="00000000" w14:paraId="000000C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at least one child of the credit-seeker is a postgraduate from an institution graded NAAC B++ or higher.</w:t>
      </w:r>
    </w:p>
    <w:p w:rsidR="00000000" w:rsidDel="00000000" w:rsidP="00000000" w:rsidRDefault="00000000" w:rsidRPr="00000000" w14:paraId="000000C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at least one child of the credit-seeker is a graduate from an institution graded NAAC B+ or higher</w:t>
      </w:r>
    </w:p>
    <w:p w:rsidR="00000000" w:rsidDel="00000000" w:rsidP="00000000" w:rsidRDefault="00000000" w:rsidRPr="00000000" w14:paraId="000000C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credit-seeker’s household has an annual electricity consumption &gt;1500 kWh</w:t>
      </w:r>
    </w:p>
    <w:p w:rsidR="00000000" w:rsidDel="00000000" w:rsidP="00000000" w:rsidRDefault="00000000" w:rsidRPr="00000000" w14:paraId="000000C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 firearm permit.</w:t>
      </w:r>
    </w:p>
    <w:p w:rsidR="00000000" w:rsidDel="00000000" w:rsidP="00000000" w:rsidRDefault="00000000" w:rsidRPr="00000000" w14:paraId="000000C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at least one child is availing a central or state government scholarship</w:t>
      </w:r>
    </w:p>
    <w:p w:rsidR="00000000" w:rsidDel="00000000" w:rsidP="00000000" w:rsidRDefault="00000000" w:rsidRPr="00000000" w14:paraId="000000C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purchased a train ticket of any AC class in the past 3 years</w:t>
      </w:r>
    </w:p>
    <w:p w:rsidR="00000000" w:rsidDel="00000000" w:rsidP="00000000" w:rsidRDefault="00000000" w:rsidRPr="00000000" w14:paraId="000000C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owns a vehicle whose pollution papers have been last updated in the past 1 year</w:t>
      </w:r>
    </w:p>
    <w:p w:rsidR="00000000" w:rsidDel="00000000" w:rsidP="00000000" w:rsidRDefault="00000000" w:rsidRPr="00000000" w14:paraId="000000C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 solar capacity of 0.1 kW or more installed under the PM KUSUM scheme.</w:t>
      </w:r>
    </w:p>
    <w:p w:rsidR="00000000" w:rsidDel="00000000" w:rsidP="00000000" w:rsidRDefault="00000000" w:rsidRPr="00000000" w14:paraId="000000D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made UPI transactions &gt;Rs. 1000 in the past month and made at least 10 UPI transactions in the last six months.</w:t>
      </w:r>
    </w:p>
    <w:p w:rsidR="00000000" w:rsidDel="00000000" w:rsidP="00000000" w:rsidRDefault="00000000" w:rsidRPr="00000000" w14:paraId="000000D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paid highway tolls &gt;Rs. 1000 in the past 1 year.</w:t>
      </w:r>
    </w:p>
    <w:p w:rsidR="00000000" w:rsidDel="00000000" w:rsidP="00000000" w:rsidRDefault="00000000" w:rsidRPr="00000000" w14:paraId="000000D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a passport</w:t>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has completed all vaccinations listed under the National Immunization scheme for all their children.</w:t>
      </w:r>
    </w:p>
    <w:p w:rsidR="00000000" w:rsidDel="00000000" w:rsidP="00000000" w:rsidRDefault="00000000" w:rsidRPr="00000000" w14:paraId="000000D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Whether the credit-seeker owns a PC (Desktop/Laptop)</w:t>
      </w:r>
      <w:r w:rsidDel="00000000" w:rsidR="00000000" w:rsidRPr="00000000">
        <w:rPr>
          <w:rtl w:val="0"/>
        </w:rPr>
      </w:r>
    </w:p>
    <w:p w:rsidR="00000000" w:rsidDel="00000000" w:rsidP="00000000" w:rsidRDefault="00000000" w:rsidRPr="00000000" w14:paraId="000000D5">
      <w:pPr>
        <w:pStyle w:val="Heading2"/>
        <w:rPr>
          <w:rFonts w:ascii="Verdana" w:cs="Verdana" w:eastAsia="Verdana" w:hAnsi="Verdana"/>
          <w:sz w:val="34"/>
          <w:szCs w:val="34"/>
        </w:rPr>
      </w:pPr>
      <w:bookmarkStart w:colFirst="0" w:colLast="0" w:name="_566fribrh7cu" w:id="10"/>
      <w:bookmarkEnd w:id="10"/>
      <w:r w:rsidDel="00000000" w:rsidR="00000000" w:rsidRPr="00000000">
        <w:rPr>
          <w:rFonts w:ascii="Verdana" w:cs="Verdana" w:eastAsia="Verdana" w:hAnsi="Verdana"/>
          <w:sz w:val="34"/>
          <w:szCs w:val="34"/>
          <w:rtl w:val="0"/>
        </w:rPr>
        <w:t xml:space="preserve">Carbon Credits in Exchange for Corporate Sponsorship: An In-depth Examination</w:t>
      </w:r>
    </w:p>
    <w:p w:rsidR="00000000" w:rsidDel="00000000" w:rsidP="00000000" w:rsidRDefault="00000000" w:rsidRPr="00000000" w14:paraId="000000D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concept of issuing carbon credits in exchange for corporate sponsorship is rooted in the global efforts to combat climate change and to transition towards a more sustainable economy. This approach enables businesses to play a proactive role in environmental conservation, while also gaining certain benefits, such as positive branding and regulatory advantages.</w:t>
      </w:r>
      <w:r w:rsidDel="00000000" w:rsidR="00000000" w:rsidRPr="00000000">
        <w:rPr>
          <w:rtl w:val="0"/>
        </w:rPr>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 Definition &amp; Concept:</w:t>
      </w:r>
    </w:p>
    <w:p w:rsidR="00000000" w:rsidDel="00000000" w:rsidP="00000000" w:rsidRDefault="00000000" w:rsidRPr="00000000" w14:paraId="000000D9">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carbon credit represents the removal or avoidance of one metric ton of carbon dioxide emissions. By investing in or sponsoring projects that reduce carbon emissions, companies can earn carbon credits. Corporate sponsorship in this context refers to businesses providing financial support or resources to projects that have a positive environmental impact.</w:t>
      </w:r>
    </w:p>
    <w:p w:rsidR="00000000" w:rsidDel="00000000" w:rsidP="00000000" w:rsidRDefault="00000000" w:rsidRPr="00000000" w14:paraId="000000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Benefits:</w:t>
      </w:r>
    </w:p>
    <w:p w:rsidR="00000000" w:rsidDel="00000000" w:rsidP="00000000" w:rsidRDefault="00000000" w:rsidRPr="00000000" w14:paraId="000000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Positive Environmental Impact: The primary objective is to support projects that lead to carbon reduction, helping in the fight against climate change.</w:t>
      </w:r>
    </w:p>
    <w:p w:rsidR="00000000" w:rsidDel="00000000" w:rsidP="00000000" w:rsidRDefault="00000000" w:rsidRPr="00000000" w14:paraId="000000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Regulatory Compliance: In regions with carbon trading schemes or mandatory emission reduction targets, companies can use carbon credits to meet their regulatory obligations.</w:t>
      </w:r>
    </w:p>
    <w:p w:rsidR="00000000" w:rsidDel="00000000" w:rsidP="00000000" w:rsidRDefault="00000000" w:rsidRPr="00000000" w14:paraId="000000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Brand Image Enhancement: Companies that invest in green initiatives and earn carbon credits can boost their sustainability image, appealing to eco-conscious consumers and stakeholders.</w:t>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Potential for Financial Returns: In certain carbon trading markets, there's potential for businesses to sell excess carbon credits for profit.</w:t>
      </w:r>
    </w:p>
    <w:p w:rsidR="00000000" w:rsidDel="00000000" w:rsidP="00000000" w:rsidRDefault="00000000" w:rsidRPr="00000000" w14:paraId="000000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How It Works:</w:t>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Identification of Projects: Companies first identify and evaluate projects that reduce or offset carbon emissions, such as reforestation initiatives, renewable energy installations, or sustainable agriculture.</w:t>
      </w:r>
    </w:p>
    <w:p w:rsidR="00000000" w:rsidDel="00000000" w:rsidP="00000000" w:rsidRDefault="00000000" w:rsidRPr="00000000" w14:paraId="000000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Sponsorship &amp; Funding: Upon selecting a project, the company provides funds or resources to help implement or sustain it.</w:t>
      </w:r>
    </w:p>
    <w:p w:rsidR="00000000" w:rsidDel="00000000" w:rsidP="00000000" w:rsidRDefault="00000000" w:rsidRPr="00000000" w14:paraId="000000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Carbon Credit Issuance: Once the project demonstrates quantifiable carbon reduction, independent verifiers assess the impact, and the relevant authority issues the carbon credits.</w:t>
      </w:r>
    </w:p>
    <w:p w:rsidR="00000000" w:rsidDel="00000000" w:rsidP="00000000" w:rsidRDefault="00000000" w:rsidRPr="00000000" w14:paraId="000000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Utilization or Trading: The company can use these credits to offset its own carbon footprint or trade them in carbon markets.</w:t>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0">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Considerations for Implementation:</w:t>
      </w:r>
    </w:p>
    <w:p w:rsidR="00000000" w:rsidDel="00000000" w:rsidP="00000000" w:rsidRDefault="00000000" w:rsidRPr="00000000" w14:paraId="000000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Credibility &amp; Verification: It's vital to ensure that the projects sponsored are genuine in their carbon reduction efforts. Regular audits by third-party agencies can help maintain authenticity.</w:t>
      </w:r>
    </w:p>
    <w:p w:rsidR="00000000" w:rsidDel="00000000" w:rsidP="00000000" w:rsidRDefault="00000000" w:rsidRPr="00000000" w14:paraId="000000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Regulatory Landscape: Companies need to be aware of the regulatory framework surrounding carbon credits in their respective regions. This includes understanding how credits can be used and any limitations on trading.</w:t>
      </w:r>
    </w:p>
    <w:p w:rsidR="00000000" w:rsidDel="00000000" w:rsidP="00000000" w:rsidRDefault="00000000" w:rsidRPr="00000000" w14:paraId="000000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Long-term Commitment: Environmental projects often require sustained efforts. Companies should be prepared for long-term engagements to ensure project success and credibility.</w:t>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Stakeholder Communication: Transparently communicating the intent, impact, and results of the sponsorship can enhance stakeholder trust and brand reputation.</w:t>
      </w:r>
    </w:p>
    <w:p w:rsidR="00000000" w:rsidDel="00000000" w:rsidP="00000000" w:rsidRDefault="00000000" w:rsidRPr="00000000" w14:paraId="000000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Future of Carbon Credits and Corporate Sponsorship:</w:t>
      </w:r>
    </w:p>
    <w:p w:rsidR="00000000" w:rsidDel="00000000" w:rsidP="00000000" w:rsidRDefault="00000000" w:rsidRPr="00000000" w14:paraId="000000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global awareness about climate change intensifies, the demand for carbon credits is likely to increase. Companies will find it advantageous, both from an environmental and a business perspective, to sponsor projects that yield these credits. Additionally, as consumers and investors become more eco-conscious, businesses that actively engage in sustainability initiatives will likely be viewed more favorably.</w:t>
      </w:r>
    </w:p>
    <w:p w:rsidR="00000000" w:rsidDel="00000000" w:rsidP="00000000" w:rsidRDefault="00000000" w:rsidRPr="00000000" w14:paraId="000000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Management Principle Employed: Sustainable Value Creation.</w:t>
      </w:r>
      <w:r w:rsidDel="00000000" w:rsidR="00000000" w:rsidRPr="00000000">
        <w:rPr>
          <w:rtl w:val="0"/>
        </w:rPr>
      </w:r>
    </w:p>
    <w:p w:rsidR="00000000" w:rsidDel="00000000" w:rsidP="00000000" w:rsidRDefault="00000000" w:rsidRPr="00000000" w14:paraId="000000F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crux of this principle is that management should not only aim for short-term benefits (like financial gain from sponsorship) but also for long-term sustainable impacts (like environmental benefits from carbon reduction). By issuing carbon credits, a company is valuing and recognizing the tangible efforts towards sustainability. Management must ensure that such efforts are genuine, verifiable, and lead to real-world positive impacts. </w:t>
      </w:r>
    </w:p>
    <w:p w:rsidR="00000000" w:rsidDel="00000000" w:rsidP="00000000" w:rsidRDefault="00000000" w:rsidRPr="00000000" w14:paraId="0000010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By adhering to these principles, organizations can ensure that their solutions are not only effective but are also grounded in solid foundational values that ensure long-term success and sustainability.</w:t>
      </w:r>
    </w:p>
    <w:p w:rsidR="00000000" w:rsidDel="00000000" w:rsidP="00000000" w:rsidRDefault="00000000" w:rsidRPr="00000000" w14:paraId="000001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conclusion, the concept of carbon credits in exchange for corporate sponsorship offers a win-win scenario. It enables businesses to actively participate in global sustainability efforts while gaining tangible and intangible benefits in return. Properly managed and transparently communicated, it can significantly contribute to a company's sustainability journey.</w:t>
      </w:r>
    </w:p>
    <w:p w:rsidR="00000000" w:rsidDel="00000000" w:rsidP="00000000" w:rsidRDefault="00000000" w:rsidRPr="00000000" w14:paraId="00000104">
      <w:pPr>
        <w:pStyle w:val="Heading2"/>
        <w:rPr>
          <w:rFonts w:ascii="Verdana" w:cs="Verdana" w:eastAsia="Verdana" w:hAnsi="Verdana"/>
          <w:sz w:val="34"/>
          <w:szCs w:val="34"/>
        </w:rPr>
      </w:pPr>
      <w:bookmarkStart w:colFirst="0" w:colLast="0" w:name="_nel5csiipg8i" w:id="11"/>
      <w:bookmarkEnd w:id="11"/>
      <w:r w:rsidDel="00000000" w:rsidR="00000000" w:rsidRPr="00000000">
        <w:rPr>
          <w:rFonts w:ascii="Verdana" w:cs="Verdana" w:eastAsia="Verdana" w:hAnsi="Verdana"/>
          <w:sz w:val="34"/>
          <w:szCs w:val="34"/>
          <w:rtl w:val="0"/>
        </w:rPr>
        <w:t xml:space="preserve">Expansion Approach for Service Network</w:t>
      </w:r>
    </w:p>
    <w:p w:rsidR="00000000" w:rsidDel="00000000" w:rsidP="00000000" w:rsidRDefault="00000000" w:rsidRPr="00000000" w14:paraId="000001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6">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Sales Network Expansion:</w:t>
      </w:r>
    </w:p>
    <w:p w:rsidR="00000000" w:rsidDel="00000000" w:rsidP="00000000" w:rsidRDefault="00000000" w:rsidRPr="00000000" w14:paraId="000001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 Market Research and Segmentation:</w:t>
      </w:r>
    </w:p>
    <w:p w:rsidR="00000000" w:rsidDel="00000000" w:rsidP="00000000" w:rsidRDefault="00000000" w:rsidRPr="00000000" w14:paraId="0000010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Conduct thorough market research to identify untapped regions and customer segments.</w:t>
      </w:r>
    </w:p>
    <w:p w:rsidR="00000000" w:rsidDel="00000000" w:rsidP="00000000" w:rsidRDefault="00000000" w:rsidRPr="00000000" w14:paraId="000001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Segment the market based on demographics, geography, and energy needs to tailor sales strategies accordingly.</w:t>
      </w:r>
    </w:p>
    <w:p w:rsidR="00000000" w:rsidDel="00000000" w:rsidP="00000000" w:rsidRDefault="00000000" w:rsidRPr="00000000" w14:paraId="000001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C">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Partnerships and Collaborations:</w:t>
      </w:r>
    </w:p>
    <w:p w:rsidR="00000000" w:rsidDel="00000000" w:rsidP="00000000" w:rsidRDefault="00000000" w:rsidRPr="00000000" w14:paraId="000001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Partner with local NGOs, community leaders, and microfinance institutions to gain trust and better access to rural communities.</w:t>
      </w:r>
    </w:p>
    <w:p w:rsidR="00000000" w:rsidDel="00000000" w:rsidP="00000000" w:rsidRDefault="00000000" w:rsidRPr="00000000" w14:paraId="000001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Collaborate with manufacturers and suppliers for bundled offerings or discounts.</w:t>
      </w:r>
    </w:p>
    <w:p w:rsidR="00000000" w:rsidDel="00000000" w:rsidP="00000000" w:rsidRDefault="00000000" w:rsidRPr="00000000" w14:paraId="000001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0">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Mobile Sales Units:</w:t>
      </w:r>
    </w:p>
    <w:p w:rsidR="00000000" w:rsidDel="00000000" w:rsidP="00000000" w:rsidRDefault="00000000" w:rsidRPr="00000000" w14:paraId="0000011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Deploy mobile sales units in remote areas to showcase products and conduct live demonstrations.</w:t>
      </w:r>
    </w:p>
    <w:p w:rsidR="00000000" w:rsidDel="00000000" w:rsidP="00000000" w:rsidRDefault="00000000" w:rsidRPr="00000000" w14:paraId="000001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These units can also serve as information centers, educating potential customers about the benefits of solar energy.</w:t>
      </w:r>
    </w:p>
    <w:p w:rsidR="00000000" w:rsidDel="00000000" w:rsidP="00000000" w:rsidRDefault="00000000" w:rsidRPr="00000000" w14:paraId="000001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4">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Digital Sales Platforms:</w:t>
      </w:r>
    </w:p>
    <w:p w:rsidR="00000000" w:rsidDel="00000000" w:rsidP="00000000" w:rsidRDefault="00000000" w:rsidRPr="00000000" w14:paraId="0000011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Develop an e-commerce platform or mobile app for customers to explore products, read reviews, and make purchases.</w:t>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Use digital marketing strategies, such as social media advertising and search engine optimization, to reach a broader audience.</w:t>
      </w:r>
    </w:p>
    <w:p w:rsidR="00000000" w:rsidDel="00000000" w:rsidP="00000000" w:rsidRDefault="00000000" w:rsidRPr="00000000" w14:paraId="000001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Referral Programs:</w:t>
      </w:r>
    </w:p>
    <w:p w:rsidR="00000000" w:rsidDel="00000000" w:rsidP="00000000" w:rsidRDefault="00000000" w:rsidRPr="00000000" w14:paraId="0000011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Encourage existing customers to refer SELCO India's products to others in exchange for incentives or discounts.</w:t>
      </w:r>
    </w:p>
    <w:p w:rsidR="00000000" w:rsidDel="00000000" w:rsidP="00000000" w:rsidRDefault="00000000" w:rsidRPr="00000000" w14:paraId="000001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Word-of-mouth can be a powerful tool, especially in close-knit rural communities.</w:t>
      </w:r>
    </w:p>
    <w:p w:rsidR="00000000" w:rsidDel="00000000" w:rsidP="00000000" w:rsidRDefault="00000000" w:rsidRPr="00000000" w14:paraId="000001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6. Flexible Financing Options:</w:t>
      </w:r>
    </w:p>
    <w:p w:rsidR="00000000" w:rsidDel="00000000" w:rsidP="00000000" w:rsidRDefault="00000000" w:rsidRPr="00000000" w14:paraId="0000011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Offer easy EMI options, subsidies, or pay-as-you-go models to make products more affordable.</w:t>
      </w:r>
    </w:p>
    <w:p w:rsidR="00000000" w:rsidDel="00000000" w:rsidP="00000000" w:rsidRDefault="00000000" w:rsidRPr="00000000" w14:paraId="000001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Collaborate with banks and microfinance institutions for seamless loan approvals.</w:t>
      </w:r>
    </w:p>
    <w:p w:rsidR="00000000" w:rsidDel="00000000" w:rsidP="00000000" w:rsidRDefault="00000000" w:rsidRPr="00000000" w14:paraId="000001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0">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Energy Service Centers Expansion:</w:t>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 Location Analysis:</w:t>
      </w:r>
    </w:p>
    <w:p w:rsidR="00000000" w:rsidDel="00000000" w:rsidP="00000000" w:rsidRDefault="00000000" w:rsidRPr="00000000" w14:paraId="0000012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Identify areas with the highest demand for solar energy solutions using data analytics and market research.</w:t>
      </w:r>
    </w:p>
    <w:p w:rsidR="00000000" w:rsidDel="00000000" w:rsidP="00000000" w:rsidRDefault="00000000" w:rsidRPr="00000000" w14:paraId="000001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Prioritize regions with limited access to the electricity grid.</w:t>
      </w:r>
    </w:p>
    <w:p w:rsidR="00000000" w:rsidDel="00000000" w:rsidP="00000000" w:rsidRDefault="00000000" w:rsidRPr="00000000" w14:paraId="000001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Modular Service Centers:</w:t>
      </w:r>
    </w:p>
    <w:p w:rsidR="00000000" w:rsidDel="00000000" w:rsidP="00000000" w:rsidRDefault="00000000" w:rsidRPr="00000000" w14:paraId="0000012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Design modular and scalable service centers that can be easily set up, expanded, or relocated based on demand.</w:t>
      </w:r>
    </w:p>
    <w:p w:rsidR="00000000" w:rsidDel="00000000" w:rsidP="00000000" w:rsidRDefault="00000000" w:rsidRPr="00000000" w14:paraId="000001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This flexibility allows for rapid expansion and adaptability to changing market conditions.</w:t>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Local Employment:</w:t>
      </w:r>
    </w:p>
    <w:p w:rsidR="00000000" w:rsidDel="00000000" w:rsidP="00000000" w:rsidRDefault="00000000" w:rsidRPr="00000000" w14:paraId="0000012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Hire and train local individuals to manage and operate these service centers.</w:t>
      </w:r>
    </w:p>
    <w:p w:rsidR="00000000" w:rsidDel="00000000" w:rsidP="00000000" w:rsidRDefault="00000000" w:rsidRPr="00000000" w14:paraId="000001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Local employees can better understand and address the unique needs and challenges of their communities.</w:t>
      </w:r>
    </w:p>
    <w:p w:rsidR="00000000" w:rsidDel="00000000" w:rsidP="00000000" w:rsidRDefault="00000000" w:rsidRPr="00000000" w14:paraId="000001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Mobile Service Units:</w:t>
      </w:r>
    </w:p>
    <w:p w:rsidR="00000000" w:rsidDel="00000000" w:rsidP="00000000" w:rsidRDefault="00000000" w:rsidRPr="00000000" w14:paraId="000001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Just as with sales, deploy mobile service units equipped with essential tools and spare parts to offer maintenance and repair services in remote areas.</w:t>
      </w:r>
    </w:p>
    <w:p w:rsidR="00000000" w:rsidDel="00000000" w:rsidP="00000000" w:rsidRDefault="00000000" w:rsidRPr="00000000" w14:paraId="000001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1">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Community Engagement:</w:t>
      </w:r>
    </w:p>
    <w:p w:rsidR="00000000" w:rsidDel="00000000" w:rsidP="00000000" w:rsidRDefault="00000000" w:rsidRPr="00000000" w14:paraId="0000013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Organize community workshops and training sessions on the benefits of solar energy, maintenance of solar products, and energy conservation.</w:t>
      </w:r>
    </w:p>
    <w:p w:rsidR="00000000" w:rsidDel="00000000" w:rsidP="00000000" w:rsidRDefault="00000000" w:rsidRPr="00000000" w14:paraId="0000013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Engaging the community can foster trust and ensure the sustainability of the service centers.</w:t>
      </w:r>
    </w:p>
    <w:p w:rsidR="00000000" w:rsidDel="00000000" w:rsidP="00000000" w:rsidRDefault="00000000" w:rsidRPr="00000000" w14:paraId="000001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6. Digital Integration:</w:t>
      </w:r>
    </w:p>
    <w:p w:rsidR="00000000" w:rsidDel="00000000" w:rsidP="00000000" w:rsidRDefault="00000000" w:rsidRPr="00000000" w14:paraId="000001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Integrate service centers with digital tools for inventory management, customer feedback, and service requests.</w:t>
      </w:r>
    </w:p>
    <w:p w:rsidR="00000000" w:rsidDel="00000000" w:rsidP="00000000" w:rsidRDefault="00000000" w:rsidRPr="00000000" w14:paraId="0000013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Offer remote troubleshooting and support through video calls or chatbots to address minor issues without physical intervention.</w:t>
      </w:r>
    </w:p>
    <w:p w:rsidR="00000000" w:rsidDel="00000000" w:rsidP="00000000" w:rsidRDefault="00000000" w:rsidRPr="00000000" w14:paraId="0000013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7. Collaboration with Educational Institutions:</w:t>
      </w:r>
    </w:p>
    <w:p w:rsidR="00000000" w:rsidDel="00000000" w:rsidP="00000000" w:rsidRDefault="00000000" w:rsidRPr="00000000" w14:paraId="000001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Partner with local schools and colleges for awareness programs and training sessions.</w:t>
      </w:r>
    </w:p>
    <w:p w:rsidR="00000000" w:rsidDel="00000000" w:rsidP="00000000" w:rsidRDefault="00000000" w:rsidRPr="00000000" w14:paraId="000001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This not only educates the younger generation about sustainable energy but also identifies potential talent for future employment.</w:t>
      </w:r>
    </w:p>
    <w:p w:rsidR="00000000" w:rsidDel="00000000" w:rsidP="00000000" w:rsidRDefault="00000000" w:rsidRPr="00000000" w14:paraId="000001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By implementing these methods, SELCO India can effectively expand its sales network and energy service centers, reaching more customers and ensuring they receive timely and efficient services.</w:t>
      </w:r>
    </w:p>
    <w:p w:rsidR="00000000" w:rsidDel="00000000" w:rsidP="00000000" w:rsidRDefault="00000000" w:rsidRPr="00000000" w14:paraId="0000013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F">
      <w:pPr>
        <w:pStyle w:val="Heading1"/>
        <w:rPr>
          <w:rFonts w:ascii="Verdana" w:cs="Verdana" w:eastAsia="Verdana" w:hAnsi="Verdana"/>
        </w:rPr>
      </w:pPr>
      <w:bookmarkStart w:colFirst="0" w:colLast="0" w:name="_rsjh8j6tznuu" w:id="12"/>
      <w:bookmarkEnd w:id="12"/>
      <w:r w:rsidDel="00000000" w:rsidR="00000000" w:rsidRPr="00000000">
        <w:rPr>
          <w:rFonts w:ascii="Verdana" w:cs="Verdana" w:eastAsia="Verdana" w:hAnsi="Verdana"/>
          <w:rtl w:val="0"/>
        </w:rPr>
        <w:t xml:space="preserve">Conclusion</w:t>
      </w:r>
    </w:p>
    <w:p w:rsidR="00000000" w:rsidDel="00000000" w:rsidP="00000000" w:rsidRDefault="00000000" w:rsidRPr="00000000" w14:paraId="00000140">
      <w:pPr>
        <w:rPr>
          <w:rFonts w:ascii="Verdana" w:cs="Verdana" w:eastAsia="Verdana" w:hAnsi="Verdana"/>
        </w:rPr>
      </w:pPr>
      <w:r w:rsidDel="00000000" w:rsidR="00000000" w:rsidRPr="00000000">
        <w:rPr>
          <w:rtl w:val="0"/>
        </w:rPr>
      </w:r>
    </w:p>
    <w:p w:rsidR="00000000" w:rsidDel="00000000" w:rsidP="00000000" w:rsidRDefault="00000000" w:rsidRPr="00000000" w14:paraId="00000141">
      <w:pPr>
        <w:rPr>
          <w:rFonts w:ascii="Verdana" w:cs="Verdana" w:eastAsia="Verdana" w:hAnsi="Verdana"/>
        </w:rPr>
      </w:pPr>
      <w:r w:rsidDel="00000000" w:rsidR="00000000" w:rsidRPr="00000000">
        <w:rPr>
          <w:rFonts w:ascii="Verdana" w:cs="Verdana" w:eastAsia="Verdana" w:hAnsi="Verdana"/>
          <w:rtl w:val="0"/>
        </w:rPr>
        <w:t xml:space="preserve">SELCO India's commendable journey since 1995, grounded in its mission to provide sustainable energy solutions to rural India, serves as a beacon of hope in the vast landscape of social enterprises. By dispelling longstanding myths surrounding the affordability and feasibility of green technologies for the underprivileged, SELCO has showcased that with innovation, commitment, and a deep understanding of local challenges, transformative change is achievable.</w:t>
      </w:r>
    </w:p>
    <w:p w:rsidR="00000000" w:rsidDel="00000000" w:rsidP="00000000" w:rsidRDefault="00000000" w:rsidRPr="00000000" w14:paraId="00000142">
      <w:pPr>
        <w:rPr>
          <w:rFonts w:ascii="Verdana" w:cs="Verdana" w:eastAsia="Verdana" w:hAnsi="Verdana"/>
        </w:rPr>
      </w:pPr>
      <w:r w:rsidDel="00000000" w:rsidR="00000000" w:rsidRPr="00000000">
        <w:rPr>
          <w:rtl w:val="0"/>
        </w:rPr>
      </w:r>
    </w:p>
    <w:p w:rsidR="00000000" w:rsidDel="00000000" w:rsidP="00000000" w:rsidRDefault="00000000" w:rsidRPr="00000000" w14:paraId="00000143">
      <w:pPr>
        <w:rPr>
          <w:rFonts w:ascii="Verdana" w:cs="Verdana" w:eastAsia="Verdana" w:hAnsi="Verdana"/>
        </w:rPr>
      </w:pPr>
      <w:r w:rsidDel="00000000" w:rsidR="00000000" w:rsidRPr="00000000">
        <w:rPr>
          <w:rFonts w:ascii="Verdana" w:cs="Verdana" w:eastAsia="Verdana" w:hAnsi="Verdana"/>
          <w:rtl w:val="0"/>
        </w:rPr>
        <w:t xml:space="preserve">As the company looks to the horizon, a future brimming with opportunities and challenges awaits. The introduction of agrivoltaics, a groundbreaking synthesis of agriculture and solar energy solutions, promises to usher in a new era of rural development. By allowing farmers to simultaneously harness the sun's energy while nurturing their crops, SELCO is poised to offer a revolutionary model that addresses food security and energy needs concurrently.</w:t>
      </w:r>
    </w:p>
    <w:p w:rsidR="00000000" w:rsidDel="00000000" w:rsidP="00000000" w:rsidRDefault="00000000" w:rsidRPr="00000000" w14:paraId="00000144">
      <w:pPr>
        <w:rPr>
          <w:rFonts w:ascii="Verdana" w:cs="Verdana" w:eastAsia="Verdana" w:hAnsi="Verdana"/>
        </w:rPr>
      </w:pPr>
      <w:r w:rsidDel="00000000" w:rsidR="00000000" w:rsidRPr="00000000">
        <w:rPr>
          <w:rtl w:val="0"/>
        </w:rPr>
      </w:r>
    </w:p>
    <w:p w:rsidR="00000000" w:rsidDel="00000000" w:rsidP="00000000" w:rsidRDefault="00000000" w:rsidRPr="00000000" w14:paraId="00000145">
      <w:pPr>
        <w:rPr>
          <w:rFonts w:ascii="Verdana" w:cs="Verdana" w:eastAsia="Verdana" w:hAnsi="Verdana"/>
        </w:rPr>
      </w:pPr>
      <w:r w:rsidDel="00000000" w:rsidR="00000000" w:rsidRPr="00000000">
        <w:rPr>
          <w:rFonts w:ascii="Verdana" w:cs="Verdana" w:eastAsia="Verdana" w:hAnsi="Verdana"/>
          <w:rtl w:val="0"/>
        </w:rPr>
        <w:t xml:space="preserve">Another promising avenue is the shared liability structure, inspired by the success of models like the Grameen Bank. By pooling the collective strength and trust of communities, SELCO can ensure not just financial sustainability through higher repayment rates, but also foster a culture of shared responsibility and mutual growth among its users.</w:t>
      </w:r>
    </w:p>
    <w:p w:rsidR="00000000" w:rsidDel="00000000" w:rsidP="00000000" w:rsidRDefault="00000000" w:rsidRPr="00000000" w14:paraId="00000146">
      <w:pPr>
        <w:rPr>
          <w:rFonts w:ascii="Verdana" w:cs="Verdana" w:eastAsia="Verdana" w:hAnsi="Verdana"/>
        </w:rPr>
      </w:pPr>
      <w:r w:rsidDel="00000000" w:rsidR="00000000" w:rsidRPr="00000000">
        <w:rPr>
          <w:rtl w:val="0"/>
        </w:rPr>
      </w:r>
    </w:p>
    <w:p w:rsidR="00000000" w:rsidDel="00000000" w:rsidP="00000000" w:rsidRDefault="00000000" w:rsidRPr="00000000" w14:paraId="00000147">
      <w:pPr>
        <w:rPr>
          <w:rFonts w:ascii="Verdana" w:cs="Verdana" w:eastAsia="Verdana" w:hAnsi="Verdana"/>
        </w:rPr>
      </w:pPr>
      <w:r w:rsidDel="00000000" w:rsidR="00000000" w:rsidRPr="00000000">
        <w:rPr>
          <w:rFonts w:ascii="Verdana" w:cs="Verdana" w:eastAsia="Verdana" w:hAnsi="Verdana"/>
          <w:rtl w:val="0"/>
        </w:rPr>
        <w:t xml:space="preserve">Furthermore, the innovative proposition of exchanging carbon credits for corporate sponsorship taps into the zeitgeist of our times. As businesses globally seek to bolster their sustainability credentials, SELCO's initiative promises to create a symbiotic relationship wherein corporates can further their green agendas while simultaneously amplifying SELCO's mission.</w:t>
      </w:r>
    </w:p>
    <w:p w:rsidR="00000000" w:rsidDel="00000000" w:rsidP="00000000" w:rsidRDefault="00000000" w:rsidRPr="00000000" w14:paraId="00000148">
      <w:pPr>
        <w:rPr>
          <w:rFonts w:ascii="Verdana" w:cs="Verdana" w:eastAsia="Verdana" w:hAnsi="Verdana"/>
        </w:rPr>
      </w:pPr>
      <w:r w:rsidDel="00000000" w:rsidR="00000000" w:rsidRPr="00000000">
        <w:rPr>
          <w:rtl w:val="0"/>
        </w:rPr>
      </w:r>
    </w:p>
    <w:p w:rsidR="00000000" w:rsidDel="00000000" w:rsidP="00000000" w:rsidRDefault="00000000" w:rsidRPr="00000000" w14:paraId="00000149">
      <w:pPr>
        <w:rPr>
          <w:rFonts w:ascii="Verdana" w:cs="Verdana" w:eastAsia="Verdana" w:hAnsi="Verdana"/>
        </w:rPr>
      </w:pPr>
      <w:r w:rsidDel="00000000" w:rsidR="00000000" w:rsidRPr="00000000">
        <w:rPr>
          <w:rFonts w:ascii="Verdana" w:cs="Verdana" w:eastAsia="Verdana" w:hAnsi="Verdana"/>
          <w:rtl w:val="0"/>
        </w:rPr>
        <w:t xml:space="preserve">But beyond these solutions, what stands out is SELCO's unwavering commitment to its vision and the broader philosophy underpinning its operations. Embracing principles of integrative synergy, collective responsibility, and sustainable value creation will be crucial as the company scales new heights. These aren't just operational guidelines but signify a deeper commitment to ethical and sustainable growth.</w:t>
      </w:r>
    </w:p>
    <w:p w:rsidR="00000000" w:rsidDel="00000000" w:rsidP="00000000" w:rsidRDefault="00000000" w:rsidRPr="00000000" w14:paraId="0000014A">
      <w:pPr>
        <w:rPr>
          <w:rFonts w:ascii="Verdana" w:cs="Verdana" w:eastAsia="Verdana" w:hAnsi="Verdana"/>
        </w:rPr>
      </w:pPr>
      <w:r w:rsidDel="00000000" w:rsidR="00000000" w:rsidRPr="00000000">
        <w:rPr>
          <w:rtl w:val="0"/>
        </w:rPr>
      </w:r>
    </w:p>
    <w:p w:rsidR="00000000" w:rsidDel="00000000" w:rsidP="00000000" w:rsidRDefault="00000000" w:rsidRPr="00000000" w14:paraId="0000014B">
      <w:pPr>
        <w:rPr>
          <w:rFonts w:ascii="Verdana" w:cs="Verdana" w:eastAsia="Verdana" w:hAnsi="Verdana"/>
        </w:rPr>
      </w:pPr>
      <w:r w:rsidDel="00000000" w:rsidR="00000000" w:rsidRPr="00000000">
        <w:rPr>
          <w:rFonts w:ascii="Verdana" w:cs="Verdana" w:eastAsia="Verdana" w:hAnsi="Verdana"/>
          <w:rtl w:val="0"/>
        </w:rPr>
        <w:t xml:space="preserve">Looking ahead, SELCO's journey is more than just an entrepreneurial venture; it's a movement. A movement that seeks to illuminate homes, empower communities, and drive forward the agenda of sustainable development. With its innovative solutions, grounded in strong management principles, the company is not only poised for exponential growth but also stands as a symbol of hope for countless others in the social enterprise arena.</w:t>
      </w:r>
    </w:p>
    <w:p w:rsidR="00000000" w:rsidDel="00000000" w:rsidP="00000000" w:rsidRDefault="00000000" w:rsidRPr="00000000" w14:paraId="0000014C">
      <w:pPr>
        <w:rPr>
          <w:rFonts w:ascii="Verdana" w:cs="Verdana" w:eastAsia="Verdana" w:hAnsi="Verdana"/>
        </w:rPr>
      </w:pPr>
      <w:r w:rsidDel="00000000" w:rsidR="00000000" w:rsidRPr="00000000">
        <w:rPr>
          <w:rtl w:val="0"/>
        </w:rPr>
      </w:r>
    </w:p>
    <w:p w:rsidR="00000000" w:rsidDel="00000000" w:rsidP="00000000" w:rsidRDefault="00000000" w:rsidRPr="00000000" w14:paraId="0000014D">
      <w:pPr>
        <w:rPr>
          <w:rFonts w:ascii="Verdana" w:cs="Verdana" w:eastAsia="Verdana" w:hAnsi="Verdana"/>
          <w:sz w:val="24"/>
          <w:szCs w:val="24"/>
        </w:rPr>
      </w:pPr>
      <w:r w:rsidDel="00000000" w:rsidR="00000000" w:rsidRPr="00000000">
        <w:rPr>
          <w:rFonts w:ascii="Verdana" w:cs="Verdana" w:eastAsia="Verdana" w:hAnsi="Verdana"/>
          <w:rtl w:val="0"/>
        </w:rPr>
        <w:t xml:space="preserve">The path forward for SELCO is as much about lighting up homes as it is about igniting a flame of hope, resilience, and innovation in the heart of rural India. As the company continues to weave its story, it carries with it the aspirations of millions, promising a brighter and more sustainable future. The challenges may be many, but with its visionary approach and commitment to its cause, SELCO India is set to redefine the paradigms of sustainable energy in the years to come.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